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2F2" w:rsidRDefault="005642F2" w:rsidP="00CB41A8">
      <w:pPr>
        <w:jc w:val="center"/>
        <w:rPr>
          <w:rFonts w:ascii="宋体" w:eastAsia="宋体" w:hAnsi="宋体"/>
          <w:sz w:val="30"/>
          <w:szCs w:val="30"/>
        </w:rPr>
      </w:pPr>
      <w:bookmarkStart w:id="0" w:name="_GoBack"/>
      <w:bookmarkEnd w:id="0"/>
      <w:r>
        <w:rPr>
          <w:rFonts w:ascii="宋体" w:eastAsia="宋体" w:hAnsi="宋体" w:hint="eastAsia"/>
          <w:sz w:val="30"/>
          <w:szCs w:val="30"/>
        </w:rPr>
        <w:t>贵州省黔东南州岑巩县儿童</w:t>
      </w:r>
      <w:r w:rsidR="00CB41A8" w:rsidRPr="008D32CF">
        <w:rPr>
          <w:rFonts w:ascii="宋体" w:eastAsia="宋体" w:hAnsi="宋体"/>
          <w:sz w:val="30"/>
          <w:szCs w:val="30"/>
        </w:rPr>
        <w:t>保护项目</w:t>
      </w:r>
    </w:p>
    <w:p w:rsidR="00854B78" w:rsidRPr="008D32CF" w:rsidRDefault="006F1CA9" w:rsidP="00CB41A8">
      <w:pPr>
        <w:jc w:val="center"/>
        <w:rPr>
          <w:rFonts w:ascii="宋体" w:eastAsia="宋体" w:hAnsi="宋体"/>
          <w:sz w:val="30"/>
          <w:szCs w:val="30"/>
        </w:rPr>
      </w:pPr>
      <w:r>
        <w:rPr>
          <w:rFonts w:ascii="宋体" w:eastAsia="宋体" w:hAnsi="宋体" w:hint="eastAsia"/>
          <w:sz w:val="30"/>
          <w:szCs w:val="30"/>
        </w:rPr>
        <w:t>社工儿童保护</w:t>
      </w:r>
      <w:r w:rsidR="005642F2">
        <w:rPr>
          <w:rFonts w:ascii="宋体" w:eastAsia="宋体" w:hAnsi="宋体" w:hint="eastAsia"/>
          <w:sz w:val="30"/>
          <w:szCs w:val="30"/>
        </w:rPr>
        <w:t>服务采购</w:t>
      </w:r>
      <w:r w:rsidR="00D66B0D">
        <w:rPr>
          <w:rFonts w:ascii="宋体" w:eastAsia="宋体" w:hAnsi="宋体" w:hint="eastAsia"/>
          <w:sz w:val="30"/>
          <w:szCs w:val="30"/>
        </w:rPr>
        <w:t>书</w:t>
      </w:r>
    </w:p>
    <w:p w:rsidR="0053413B" w:rsidRPr="0053413B" w:rsidRDefault="00CB41A8" w:rsidP="005C404B">
      <w:pPr>
        <w:pStyle w:val="a7"/>
        <w:numPr>
          <w:ilvl w:val="0"/>
          <w:numId w:val="1"/>
        </w:numPr>
        <w:spacing w:line="300" w:lineRule="auto"/>
        <w:ind w:firstLineChars="0"/>
        <w:jc w:val="left"/>
        <w:rPr>
          <w:rFonts w:ascii="宋体" w:eastAsia="宋体" w:hAnsi="宋体"/>
          <w:sz w:val="24"/>
          <w:szCs w:val="24"/>
        </w:rPr>
      </w:pPr>
      <w:r w:rsidRPr="00C34542">
        <w:rPr>
          <w:rFonts w:ascii="宋体" w:eastAsia="宋体" w:hAnsi="宋体" w:hint="eastAsia"/>
          <w:sz w:val="24"/>
          <w:szCs w:val="24"/>
        </w:rPr>
        <w:t>项目背景</w:t>
      </w:r>
    </w:p>
    <w:p w:rsidR="001F32BC" w:rsidRDefault="001F32BC" w:rsidP="005C404B">
      <w:pPr>
        <w:spacing w:line="300" w:lineRule="auto"/>
        <w:ind w:firstLineChars="200" w:firstLine="480"/>
        <w:jc w:val="left"/>
        <w:rPr>
          <w:rFonts w:ascii="宋体" w:eastAsia="宋体" w:hAnsi="宋体"/>
          <w:sz w:val="24"/>
          <w:szCs w:val="24"/>
        </w:rPr>
      </w:pPr>
      <w:r w:rsidRPr="006F1CA9">
        <w:rPr>
          <w:rFonts w:ascii="宋体" w:eastAsia="宋体" w:hAnsi="宋体" w:hint="eastAsia"/>
          <w:sz w:val="24"/>
          <w:szCs w:val="24"/>
        </w:rPr>
        <w:t>为进一步健全农村留守儿童和困境儿童关爱服务体系，并加强儿童保护工作，在民政部儿童福利司的指导和贵州省</w:t>
      </w:r>
      <w:r w:rsidR="00D74CD1">
        <w:rPr>
          <w:rFonts w:ascii="宋体" w:eastAsia="宋体" w:hAnsi="宋体" w:hint="eastAsia"/>
          <w:sz w:val="24"/>
          <w:szCs w:val="24"/>
        </w:rPr>
        <w:t>民政厅儿童福利处的大力支持下，</w:t>
      </w:r>
      <w:r w:rsidR="001E0D60" w:rsidRPr="004053C7">
        <w:rPr>
          <w:rFonts w:ascii="宋体" w:eastAsia="宋体" w:hAnsi="宋体" w:hint="eastAsia"/>
          <w:sz w:val="24"/>
          <w:szCs w:val="24"/>
        </w:rPr>
        <w:t>我代表处</w:t>
      </w:r>
      <w:r w:rsidR="00D74CD1">
        <w:rPr>
          <w:rFonts w:ascii="宋体" w:eastAsia="宋体" w:hAnsi="宋体" w:hint="eastAsia"/>
          <w:sz w:val="24"/>
          <w:szCs w:val="24"/>
        </w:rPr>
        <w:t>于</w:t>
      </w:r>
      <w:r w:rsidR="00D74CD1" w:rsidRPr="004053C7">
        <w:rPr>
          <w:rFonts w:ascii="宋体" w:eastAsia="宋体" w:hAnsi="宋体" w:hint="eastAsia"/>
          <w:sz w:val="24"/>
          <w:szCs w:val="24"/>
        </w:rPr>
        <w:t>2</w:t>
      </w:r>
      <w:r w:rsidR="00D74CD1" w:rsidRPr="004053C7">
        <w:rPr>
          <w:rFonts w:ascii="宋体" w:eastAsia="宋体" w:hAnsi="宋体"/>
          <w:sz w:val="24"/>
          <w:szCs w:val="24"/>
        </w:rPr>
        <w:t>020</w:t>
      </w:r>
      <w:r w:rsidR="00D74CD1" w:rsidRPr="004053C7">
        <w:rPr>
          <w:rFonts w:ascii="宋体" w:eastAsia="宋体" w:hAnsi="宋体" w:hint="eastAsia"/>
          <w:sz w:val="24"/>
          <w:szCs w:val="24"/>
        </w:rPr>
        <w:t>年</w:t>
      </w:r>
      <w:r w:rsidR="001E0D60" w:rsidRPr="004053C7">
        <w:rPr>
          <w:rFonts w:ascii="宋体" w:eastAsia="宋体" w:hAnsi="宋体" w:hint="eastAsia"/>
          <w:sz w:val="24"/>
          <w:szCs w:val="24"/>
        </w:rPr>
        <w:t>与</w:t>
      </w:r>
      <w:r w:rsidR="001E0D60" w:rsidRPr="006F1CA9">
        <w:rPr>
          <w:rFonts w:ascii="宋体" w:eastAsia="宋体" w:hAnsi="宋体" w:hint="eastAsia"/>
          <w:sz w:val="24"/>
          <w:szCs w:val="24"/>
        </w:rPr>
        <w:t>贵州省黔东南州岑巩县民政局</w:t>
      </w:r>
      <w:r w:rsidR="001E0D60" w:rsidRPr="004053C7">
        <w:rPr>
          <w:rFonts w:ascii="宋体" w:eastAsia="宋体" w:hAnsi="宋体" w:hint="eastAsia"/>
          <w:sz w:val="24"/>
          <w:szCs w:val="24"/>
        </w:rPr>
        <w:t>签订了合作备忘录，</w:t>
      </w:r>
      <w:r w:rsidR="00D74CD1">
        <w:rPr>
          <w:rFonts w:ascii="宋体" w:eastAsia="宋体" w:hAnsi="宋体" w:hint="eastAsia"/>
          <w:sz w:val="24"/>
          <w:szCs w:val="24"/>
        </w:rPr>
        <w:t>建立了合作关系。</w:t>
      </w:r>
      <w:r w:rsidR="001E0D60" w:rsidRPr="004053C7">
        <w:rPr>
          <w:rFonts w:ascii="宋体" w:eastAsia="宋体" w:hAnsi="宋体" w:hint="eastAsia"/>
          <w:sz w:val="24"/>
          <w:szCs w:val="24"/>
        </w:rPr>
        <w:t>拟在当地</w:t>
      </w:r>
      <w:r w:rsidR="004053C7" w:rsidRPr="004053C7">
        <w:rPr>
          <w:rFonts w:ascii="宋体" w:eastAsia="宋体" w:hAnsi="宋体" w:hint="eastAsia"/>
          <w:sz w:val="24"/>
          <w:szCs w:val="24"/>
        </w:rPr>
        <w:t>推进</w:t>
      </w:r>
      <w:r w:rsidR="004053C7">
        <w:rPr>
          <w:rFonts w:ascii="宋体" w:eastAsia="宋体" w:hAnsi="宋体" w:hint="eastAsia"/>
          <w:sz w:val="24"/>
          <w:szCs w:val="24"/>
        </w:rPr>
        <w:t>和</w:t>
      </w:r>
      <w:r w:rsidR="001E0D60" w:rsidRPr="006F1CA9">
        <w:rPr>
          <w:rFonts w:ascii="宋体" w:eastAsia="宋体" w:hAnsi="宋体" w:hint="eastAsia"/>
          <w:sz w:val="24"/>
          <w:szCs w:val="24"/>
        </w:rPr>
        <w:t>落实儿童关爱保护政策</w:t>
      </w:r>
      <w:r w:rsidR="001E0D60">
        <w:rPr>
          <w:rFonts w:ascii="宋体" w:eastAsia="宋体" w:hAnsi="宋体" w:hint="eastAsia"/>
          <w:sz w:val="24"/>
          <w:szCs w:val="24"/>
        </w:rPr>
        <w:t>，</w:t>
      </w:r>
      <w:r w:rsidR="001E0D60" w:rsidRPr="006F1CA9">
        <w:rPr>
          <w:rFonts w:ascii="宋体" w:eastAsia="宋体" w:hAnsi="宋体" w:hint="eastAsia"/>
          <w:sz w:val="24"/>
          <w:szCs w:val="24"/>
        </w:rPr>
        <w:t>强化地方未成年人保护机制</w:t>
      </w:r>
      <w:r w:rsidR="001E0D60">
        <w:rPr>
          <w:rFonts w:ascii="宋体" w:eastAsia="宋体" w:hAnsi="宋体" w:hint="eastAsia"/>
          <w:sz w:val="24"/>
          <w:szCs w:val="24"/>
        </w:rPr>
        <w:t>，从而形成</w:t>
      </w:r>
      <w:r w:rsidR="001E0D60" w:rsidRPr="004053C7">
        <w:rPr>
          <w:rFonts w:ascii="宋体" w:eastAsia="宋体" w:hAnsi="宋体" w:hint="eastAsia"/>
          <w:sz w:val="24"/>
          <w:szCs w:val="24"/>
        </w:rPr>
        <w:t>未成年人保护和困境儿童保障、促进儿童全面发展。</w:t>
      </w:r>
    </w:p>
    <w:p w:rsidR="004053C7" w:rsidRPr="006F1CA9" w:rsidRDefault="004053C7" w:rsidP="005C404B">
      <w:pPr>
        <w:spacing w:line="300" w:lineRule="auto"/>
        <w:ind w:firstLineChars="200" w:firstLine="480"/>
        <w:jc w:val="left"/>
        <w:rPr>
          <w:rFonts w:ascii="宋体" w:eastAsia="宋体" w:hAnsi="宋体"/>
          <w:sz w:val="24"/>
          <w:szCs w:val="24"/>
        </w:rPr>
      </w:pPr>
    </w:p>
    <w:p w:rsidR="003F79CC" w:rsidRPr="003F79CC" w:rsidRDefault="006F1CA9" w:rsidP="003F79CC">
      <w:pPr>
        <w:spacing w:line="300" w:lineRule="auto"/>
        <w:ind w:firstLineChars="200" w:firstLine="480"/>
        <w:jc w:val="left"/>
        <w:rPr>
          <w:rFonts w:ascii="宋体" w:hAnsi="宋体" w:cs="Tahoma"/>
          <w:kern w:val="0"/>
          <w:sz w:val="24"/>
        </w:rPr>
      </w:pPr>
      <w:r>
        <w:rPr>
          <w:rFonts w:ascii="宋体" w:eastAsia="宋体" w:hAnsi="宋体" w:hint="eastAsia"/>
          <w:sz w:val="24"/>
          <w:szCs w:val="24"/>
        </w:rPr>
        <w:t>为更好的</w:t>
      </w:r>
      <w:r w:rsidR="004053C7">
        <w:rPr>
          <w:rFonts w:ascii="宋体" w:eastAsia="宋体" w:hAnsi="宋体" w:hint="eastAsia"/>
          <w:sz w:val="24"/>
          <w:szCs w:val="24"/>
        </w:rPr>
        <w:t>支持</w:t>
      </w:r>
      <w:r>
        <w:rPr>
          <w:rFonts w:ascii="宋体" w:eastAsia="宋体" w:hAnsi="宋体" w:hint="eastAsia"/>
          <w:sz w:val="24"/>
          <w:szCs w:val="24"/>
        </w:rPr>
        <w:t>岑巩县</w:t>
      </w:r>
      <w:r w:rsidR="004053C7">
        <w:rPr>
          <w:rFonts w:ascii="宋体" w:eastAsia="宋体" w:hAnsi="宋体" w:hint="eastAsia"/>
          <w:sz w:val="24"/>
          <w:szCs w:val="24"/>
        </w:rPr>
        <w:t>民政局有效的</w:t>
      </w:r>
      <w:r w:rsidR="00D237EE" w:rsidRPr="00D237EE">
        <w:rPr>
          <w:rFonts w:ascii="宋体" w:eastAsia="宋体" w:hAnsi="宋体" w:hint="eastAsia"/>
          <w:sz w:val="24"/>
          <w:szCs w:val="24"/>
        </w:rPr>
        <w:t>开展</w:t>
      </w:r>
      <w:r>
        <w:rPr>
          <w:rFonts w:ascii="宋体" w:eastAsia="宋体" w:hAnsi="宋体" w:hint="eastAsia"/>
          <w:sz w:val="24"/>
          <w:szCs w:val="24"/>
        </w:rPr>
        <w:t>儿童保护</w:t>
      </w:r>
      <w:r w:rsidR="00D237EE" w:rsidRPr="00D237EE">
        <w:rPr>
          <w:rFonts w:ascii="宋体" w:eastAsia="宋体" w:hAnsi="宋体" w:hint="eastAsia"/>
          <w:sz w:val="24"/>
          <w:szCs w:val="24"/>
        </w:rPr>
        <w:t>工作，</w:t>
      </w:r>
      <w:r w:rsidR="004053C7">
        <w:rPr>
          <w:rFonts w:ascii="宋体" w:eastAsia="宋体" w:hAnsi="宋体" w:hint="eastAsia"/>
          <w:sz w:val="24"/>
          <w:szCs w:val="24"/>
        </w:rPr>
        <w:t>为有需要的儿童提供关爱保护服务。经过与民政合作伙伴的协商</w:t>
      </w:r>
      <w:r>
        <w:rPr>
          <w:rFonts w:ascii="宋体" w:hAnsi="宋体" w:cs="Tahoma" w:hint="eastAsia"/>
          <w:kern w:val="0"/>
          <w:sz w:val="24"/>
        </w:rPr>
        <w:t>拟</w:t>
      </w:r>
      <w:r w:rsidR="00D74CD1">
        <w:rPr>
          <w:rFonts w:ascii="宋体" w:hAnsi="宋体" w:cs="Tahoma" w:hint="eastAsia"/>
          <w:kern w:val="0"/>
          <w:sz w:val="24"/>
        </w:rPr>
        <w:t>向当地社会服务机构</w:t>
      </w:r>
      <w:r>
        <w:rPr>
          <w:rFonts w:ascii="宋体" w:hAnsi="宋体" w:cs="Tahoma" w:hint="eastAsia"/>
          <w:kern w:val="0"/>
          <w:sz w:val="24"/>
        </w:rPr>
        <w:t>采购儿童保护服务</w:t>
      </w:r>
      <w:r w:rsidR="00D74CD1">
        <w:rPr>
          <w:rFonts w:ascii="宋体" w:hAnsi="宋体" w:cs="Tahoma" w:hint="eastAsia"/>
          <w:kern w:val="0"/>
          <w:sz w:val="24"/>
        </w:rPr>
        <w:t>，服务内容</w:t>
      </w:r>
      <w:r w:rsidR="00382990">
        <w:rPr>
          <w:rFonts w:ascii="宋体" w:hAnsi="宋体" w:cs="Tahoma" w:hint="eastAsia"/>
          <w:kern w:val="0"/>
          <w:sz w:val="24"/>
        </w:rPr>
        <w:t>包括</w:t>
      </w:r>
      <w:r w:rsidR="00D74CD1">
        <w:rPr>
          <w:rFonts w:ascii="宋体" w:hAnsi="宋体" w:cs="Tahoma" w:hint="eastAsia"/>
          <w:kern w:val="0"/>
          <w:sz w:val="24"/>
        </w:rPr>
        <w:t>以促进社区家长亲职能力</w:t>
      </w:r>
      <w:r w:rsidR="00B14B3E">
        <w:rPr>
          <w:rFonts w:ascii="宋体" w:hAnsi="宋体" w:cs="Tahoma" w:hint="eastAsia"/>
          <w:kern w:val="0"/>
          <w:sz w:val="24"/>
        </w:rPr>
        <w:t>，</w:t>
      </w:r>
      <w:r w:rsidR="00D74CD1">
        <w:rPr>
          <w:rFonts w:ascii="宋体" w:hAnsi="宋体" w:cs="Tahoma" w:hint="eastAsia"/>
          <w:kern w:val="0"/>
          <w:sz w:val="24"/>
        </w:rPr>
        <w:t>推动形成预防儿童遭受忽视、虐待和暴力伤害等行为的和谐社区为目的的正向教养</w:t>
      </w:r>
      <w:r w:rsidR="00676796">
        <w:rPr>
          <w:rFonts w:ascii="宋体" w:hAnsi="宋体" w:cs="Tahoma" w:hint="eastAsia"/>
          <w:kern w:val="0"/>
          <w:sz w:val="24"/>
        </w:rPr>
        <w:t>服务</w:t>
      </w:r>
      <w:r w:rsidR="00D74CD1">
        <w:rPr>
          <w:rFonts w:ascii="宋体" w:hAnsi="宋体" w:cs="Tahoma" w:hint="eastAsia"/>
          <w:kern w:val="0"/>
          <w:sz w:val="24"/>
        </w:rPr>
        <w:t>，以及支持当地建立儿童保护服务体系为目的的</w:t>
      </w:r>
      <w:r w:rsidR="00382990">
        <w:rPr>
          <w:rFonts w:ascii="宋体" w:hAnsi="宋体" w:cs="Tahoma" w:hint="eastAsia"/>
          <w:kern w:val="0"/>
          <w:sz w:val="24"/>
        </w:rPr>
        <w:t>个案</w:t>
      </w:r>
      <w:r w:rsidR="00B14B3E">
        <w:rPr>
          <w:rFonts w:ascii="宋体" w:hAnsi="宋体" w:cs="Tahoma" w:hint="eastAsia"/>
          <w:kern w:val="0"/>
          <w:sz w:val="24"/>
        </w:rPr>
        <w:t>管理</w:t>
      </w:r>
      <w:r w:rsidR="00D74CD1">
        <w:rPr>
          <w:rFonts w:ascii="宋体" w:hAnsi="宋体" w:cs="Tahoma" w:hint="eastAsia"/>
          <w:kern w:val="0"/>
          <w:sz w:val="24"/>
        </w:rPr>
        <w:t>服务等</w:t>
      </w:r>
      <w:r w:rsidR="00676796">
        <w:rPr>
          <w:rFonts w:ascii="宋体" w:hAnsi="宋体" w:cs="Tahoma" w:hint="eastAsia"/>
          <w:kern w:val="0"/>
          <w:sz w:val="24"/>
        </w:rPr>
        <w:t>。通过两项服务内容的落实，以</w:t>
      </w:r>
      <w:r>
        <w:rPr>
          <w:rFonts w:ascii="宋体" w:hAnsi="宋体" w:cs="Tahoma" w:hint="eastAsia"/>
          <w:kern w:val="0"/>
          <w:sz w:val="24"/>
        </w:rPr>
        <w:t>降低儿童受侵害的风险，消除针对儿童的暴力及其影响。</w:t>
      </w:r>
    </w:p>
    <w:p w:rsidR="00574393" w:rsidRPr="00382990" w:rsidRDefault="00574393" w:rsidP="00382990">
      <w:pPr>
        <w:spacing w:line="300" w:lineRule="auto"/>
        <w:ind w:firstLineChars="200" w:firstLine="480"/>
        <w:jc w:val="left"/>
        <w:rPr>
          <w:rFonts w:ascii="宋体" w:eastAsia="宋体" w:hAnsi="宋体"/>
          <w:sz w:val="24"/>
          <w:szCs w:val="24"/>
        </w:rPr>
      </w:pPr>
    </w:p>
    <w:p w:rsidR="0053413B" w:rsidRDefault="00773655" w:rsidP="005C404B">
      <w:pPr>
        <w:pStyle w:val="a7"/>
        <w:numPr>
          <w:ilvl w:val="0"/>
          <w:numId w:val="1"/>
        </w:numPr>
        <w:spacing w:line="300" w:lineRule="auto"/>
        <w:ind w:firstLineChars="0"/>
        <w:jc w:val="left"/>
        <w:rPr>
          <w:rFonts w:ascii="宋体" w:eastAsia="宋体" w:hAnsi="宋体"/>
          <w:sz w:val="24"/>
          <w:szCs w:val="24"/>
        </w:rPr>
      </w:pPr>
      <w:r>
        <w:rPr>
          <w:rFonts w:ascii="宋体" w:eastAsia="宋体" w:hAnsi="宋体" w:hint="eastAsia"/>
          <w:sz w:val="24"/>
          <w:szCs w:val="24"/>
        </w:rPr>
        <w:t>采购内容</w:t>
      </w:r>
    </w:p>
    <w:p w:rsidR="00EE6BC3" w:rsidRPr="00EE6BC3" w:rsidRDefault="00EE6BC3" w:rsidP="00EE6BC3">
      <w:pPr>
        <w:spacing w:line="300" w:lineRule="auto"/>
        <w:jc w:val="left"/>
        <w:rPr>
          <w:rFonts w:ascii="宋体" w:eastAsia="宋体" w:hAnsi="宋体"/>
          <w:sz w:val="24"/>
          <w:szCs w:val="24"/>
        </w:rPr>
      </w:pPr>
    </w:p>
    <w:tbl>
      <w:tblPr>
        <w:tblStyle w:val="a9"/>
        <w:tblpPr w:leftFromText="180" w:rightFromText="180" w:vertAnchor="text" w:horzAnchor="margin" w:tblpY="544"/>
        <w:tblOverlap w:val="never"/>
        <w:tblW w:w="5000" w:type="pct"/>
        <w:shd w:val="solid" w:color="D8D8D8" w:themeColor="background1" w:themeShade="D8" w:fill="auto"/>
        <w:tblLook w:val="04A0" w:firstRow="1" w:lastRow="0" w:firstColumn="1" w:lastColumn="0" w:noHBand="0" w:noVBand="1"/>
      </w:tblPr>
      <w:tblGrid>
        <w:gridCol w:w="4107"/>
        <w:gridCol w:w="4189"/>
      </w:tblGrid>
      <w:tr w:rsidR="000446F8" w:rsidRPr="000446F8" w:rsidTr="000446F8">
        <w:trPr>
          <w:trHeight w:val="558"/>
        </w:trPr>
        <w:tc>
          <w:tcPr>
            <w:tcW w:w="2475" w:type="pct"/>
            <w:shd w:val="clear" w:color="D8D8D8" w:themeColor="background1" w:themeShade="D8" w:fill="auto"/>
            <w:vAlign w:val="center"/>
          </w:tcPr>
          <w:p w:rsidR="000446F8" w:rsidRPr="000446F8" w:rsidRDefault="000446F8" w:rsidP="003E750D">
            <w:pPr>
              <w:jc w:val="center"/>
              <w:rPr>
                <w:rFonts w:ascii="仿宋_GB2312" w:eastAsia="仿宋_GB2312" w:hAnsi="仿宋_GB2312" w:cs="仿宋_GB2312"/>
                <w:b/>
                <w:sz w:val="24"/>
                <w:szCs w:val="32"/>
              </w:rPr>
            </w:pPr>
            <w:r w:rsidRPr="000446F8">
              <w:rPr>
                <w:rFonts w:ascii="仿宋_GB2312" w:eastAsia="仿宋_GB2312" w:hAnsi="仿宋_GB2312" w:cs="仿宋_GB2312" w:hint="eastAsia"/>
                <w:b/>
                <w:sz w:val="24"/>
                <w:szCs w:val="32"/>
              </w:rPr>
              <w:t>服务内容</w:t>
            </w:r>
          </w:p>
        </w:tc>
        <w:tc>
          <w:tcPr>
            <w:tcW w:w="2525" w:type="pct"/>
            <w:shd w:val="clear" w:color="D8D8D8" w:themeColor="background1" w:themeShade="D8" w:fill="auto"/>
            <w:vAlign w:val="center"/>
          </w:tcPr>
          <w:p w:rsidR="000446F8" w:rsidRPr="000446F8" w:rsidRDefault="000446F8" w:rsidP="003E750D">
            <w:pPr>
              <w:jc w:val="center"/>
              <w:rPr>
                <w:rFonts w:ascii="仿宋_GB2312" w:eastAsia="仿宋_GB2312" w:hAnsi="仿宋_GB2312" w:cs="仿宋_GB2312"/>
                <w:b/>
                <w:sz w:val="24"/>
                <w:szCs w:val="32"/>
              </w:rPr>
            </w:pPr>
            <w:r w:rsidRPr="000446F8">
              <w:rPr>
                <w:rFonts w:ascii="仿宋_GB2312" w:eastAsia="仿宋_GB2312" w:hAnsi="仿宋_GB2312" w:cs="仿宋_GB2312" w:hint="eastAsia"/>
                <w:b/>
                <w:sz w:val="24"/>
                <w:szCs w:val="32"/>
              </w:rPr>
              <w:t>指标</w:t>
            </w:r>
          </w:p>
        </w:tc>
      </w:tr>
      <w:tr w:rsidR="00F66244" w:rsidTr="000446F8">
        <w:trPr>
          <w:trHeight w:val="558"/>
        </w:trPr>
        <w:tc>
          <w:tcPr>
            <w:tcW w:w="2475" w:type="pct"/>
            <w:shd w:val="clear" w:color="D8D8D8" w:themeColor="background1" w:themeShade="D8" w:fill="auto"/>
            <w:vAlign w:val="center"/>
          </w:tcPr>
          <w:p w:rsidR="00F66244" w:rsidRDefault="00F66244" w:rsidP="00F66244">
            <w:pPr>
              <w:rPr>
                <w:rFonts w:ascii="仿宋" w:eastAsia="仿宋" w:hAnsi="仿宋" w:cs="仿宋"/>
                <w:sz w:val="24"/>
                <w:szCs w:val="24"/>
              </w:rPr>
            </w:pPr>
            <w:r>
              <w:rPr>
                <w:rFonts w:ascii="仿宋_GB2312" w:eastAsia="仿宋_GB2312" w:hAnsi="仿宋_GB2312" w:cs="仿宋_GB2312"/>
                <w:sz w:val="24"/>
                <w:szCs w:val="32"/>
              </w:rPr>
              <w:t>1.1</w:t>
            </w:r>
            <w:r>
              <w:rPr>
                <w:rFonts w:ascii="仿宋_GB2312" w:eastAsia="仿宋_GB2312" w:hAnsi="仿宋_GB2312" w:cs="仿宋_GB2312" w:hint="eastAsia"/>
                <w:sz w:val="24"/>
                <w:szCs w:val="32"/>
              </w:rPr>
              <w:t>正向教养社区宣传</w:t>
            </w:r>
          </w:p>
        </w:tc>
        <w:tc>
          <w:tcPr>
            <w:tcW w:w="2525" w:type="pct"/>
            <w:shd w:val="clear" w:color="D8D8D8" w:themeColor="background1" w:themeShade="D8" w:fill="auto"/>
            <w:vAlign w:val="center"/>
          </w:tcPr>
          <w:p w:rsidR="00F66244" w:rsidRDefault="00382990" w:rsidP="003E750D">
            <w:pPr>
              <w:jc w:val="left"/>
              <w:rPr>
                <w:rFonts w:ascii="仿宋" w:eastAsia="仿宋" w:hAnsi="仿宋" w:cs="仿宋"/>
                <w:sz w:val="24"/>
                <w:szCs w:val="24"/>
              </w:rPr>
            </w:pPr>
            <w:r>
              <w:rPr>
                <w:rFonts w:ascii="仿宋_GB2312" w:eastAsia="仿宋_GB2312" w:hAnsi="仿宋_GB2312" w:cs="仿宋_GB2312" w:hint="eastAsia"/>
                <w:sz w:val="24"/>
                <w:szCs w:val="32"/>
              </w:rPr>
              <w:t>至少</w:t>
            </w:r>
            <w:r w:rsidR="00F66244">
              <w:rPr>
                <w:rFonts w:ascii="仿宋_GB2312" w:eastAsia="仿宋_GB2312" w:hAnsi="仿宋_GB2312" w:cs="仿宋_GB2312" w:hint="eastAsia"/>
                <w:sz w:val="24"/>
                <w:szCs w:val="32"/>
              </w:rPr>
              <w:t>5场正向教养</w:t>
            </w:r>
            <w:r w:rsidR="003E750D">
              <w:rPr>
                <w:rFonts w:ascii="仿宋_GB2312" w:eastAsia="仿宋_GB2312" w:hAnsi="仿宋_GB2312" w:cs="仿宋_GB2312" w:hint="eastAsia"/>
                <w:sz w:val="24"/>
                <w:szCs w:val="32"/>
              </w:rPr>
              <w:t>意识提升</w:t>
            </w:r>
            <w:r>
              <w:rPr>
                <w:rFonts w:ascii="仿宋_GB2312" w:eastAsia="仿宋_GB2312" w:hAnsi="仿宋_GB2312" w:cs="仿宋_GB2312" w:hint="eastAsia"/>
                <w:sz w:val="24"/>
                <w:szCs w:val="32"/>
              </w:rPr>
              <w:t>宣传</w:t>
            </w:r>
            <w:r w:rsidR="00F66244">
              <w:rPr>
                <w:rFonts w:ascii="仿宋_GB2312" w:eastAsia="仿宋_GB2312" w:hAnsi="仿宋_GB2312" w:cs="仿宋_GB2312" w:hint="eastAsia"/>
                <w:sz w:val="24"/>
                <w:szCs w:val="32"/>
              </w:rPr>
              <w:t>活动</w:t>
            </w:r>
          </w:p>
        </w:tc>
      </w:tr>
      <w:tr w:rsidR="00F66244" w:rsidTr="000446F8">
        <w:trPr>
          <w:trHeight w:val="550"/>
        </w:trPr>
        <w:tc>
          <w:tcPr>
            <w:tcW w:w="2475" w:type="pct"/>
            <w:shd w:val="clear" w:color="D8D8D8" w:themeColor="background1" w:themeShade="D8" w:fill="auto"/>
            <w:vAlign w:val="center"/>
          </w:tcPr>
          <w:p w:rsidR="00F66244" w:rsidRDefault="00F66244" w:rsidP="00F66244">
            <w:pPr>
              <w:rPr>
                <w:rFonts w:ascii="仿宋" w:eastAsia="仿宋" w:hAnsi="仿宋" w:cs="仿宋"/>
                <w:sz w:val="24"/>
                <w:szCs w:val="24"/>
              </w:rPr>
            </w:pPr>
            <w:r>
              <w:rPr>
                <w:rFonts w:ascii="仿宋_GB2312" w:eastAsia="仿宋_GB2312" w:hAnsi="仿宋_GB2312" w:cs="仿宋_GB2312"/>
                <w:sz w:val="24"/>
                <w:szCs w:val="32"/>
              </w:rPr>
              <w:t>1.2</w:t>
            </w:r>
            <w:r>
              <w:rPr>
                <w:rFonts w:ascii="仿宋_GB2312" w:eastAsia="仿宋_GB2312" w:hAnsi="仿宋_GB2312" w:cs="仿宋_GB2312" w:hint="eastAsia"/>
                <w:sz w:val="24"/>
                <w:szCs w:val="32"/>
              </w:rPr>
              <w:t>正向教养讲座</w:t>
            </w:r>
          </w:p>
        </w:tc>
        <w:tc>
          <w:tcPr>
            <w:tcW w:w="2525" w:type="pct"/>
            <w:shd w:val="clear" w:color="D8D8D8" w:themeColor="background1" w:themeShade="D8" w:fill="auto"/>
            <w:vAlign w:val="center"/>
          </w:tcPr>
          <w:p w:rsidR="00F66244" w:rsidRDefault="00382990" w:rsidP="003E750D">
            <w:pPr>
              <w:jc w:val="left"/>
              <w:rPr>
                <w:rFonts w:ascii="仿宋" w:eastAsia="仿宋" w:hAnsi="仿宋" w:cs="仿宋"/>
                <w:sz w:val="24"/>
                <w:szCs w:val="24"/>
              </w:rPr>
            </w:pPr>
            <w:r>
              <w:rPr>
                <w:rFonts w:ascii="仿宋_GB2312" w:eastAsia="仿宋_GB2312" w:hAnsi="仿宋_GB2312" w:cs="仿宋_GB2312" w:hint="eastAsia"/>
                <w:sz w:val="24"/>
                <w:szCs w:val="32"/>
              </w:rPr>
              <w:t>至少</w:t>
            </w:r>
            <w:r w:rsidR="00F66244">
              <w:rPr>
                <w:rFonts w:ascii="仿宋_GB2312" w:eastAsia="仿宋_GB2312" w:hAnsi="仿宋_GB2312" w:cs="仿宋_GB2312" w:hint="eastAsia"/>
                <w:sz w:val="24"/>
                <w:szCs w:val="32"/>
              </w:rPr>
              <w:t>5场</w:t>
            </w:r>
            <w:r w:rsidR="000446F8">
              <w:rPr>
                <w:rFonts w:ascii="仿宋_GB2312" w:eastAsia="仿宋_GB2312" w:hAnsi="仿宋_GB2312" w:cs="仿宋_GB2312" w:hint="eastAsia"/>
                <w:sz w:val="24"/>
                <w:szCs w:val="32"/>
              </w:rPr>
              <w:t>针对家长的</w:t>
            </w:r>
            <w:r w:rsidR="00F66244">
              <w:rPr>
                <w:rFonts w:ascii="仿宋_GB2312" w:eastAsia="仿宋_GB2312" w:hAnsi="仿宋_GB2312" w:cs="仿宋_GB2312" w:hint="eastAsia"/>
                <w:sz w:val="24"/>
                <w:szCs w:val="32"/>
              </w:rPr>
              <w:t>正向教养讲座</w:t>
            </w:r>
          </w:p>
        </w:tc>
      </w:tr>
      <w:tr w:rsidR="00F66244" w:rsidTr="000446F8">
        <w:trPr>
          <w:trHeight w:val="415"/>
        </w:trPr>
        <w:tc>
          <w:tcPr>
            <w:tcW w:w="2475" w:type="pct"/>
            <w:shd w:val="clear" w:color="D8D8D8" w:themeColor="background1" w:themeShade="D8" w:fill="auto"/>
            <w:vAlign w:val="center"/>
          </w:tcPr>
          <w:p w:rsidR="00F66244" w:rsidRDefault="00F66244" w:rsidP="000446F8">
            <w:pPr>
              <w:rPr>
                <w:rFonts w:ascii="仿宋_GB2312" w:eastAsia="仿宋_GB2312" w:hAnsi="仿宋_GB2312" w:cs="仿宋_GB2312"/>
                <w:sz w:val="24"/>
                <w:szCs w:val="32"/>
              </w:rPr>
            </w:pPr>
            <w:r>
              <w:rPr>
                <w:rFonts w:ascii="仿宋_GB2312" w:eastAsia="仿宋_GB2312" w:hAnsi="仿宋_GB2312" w:cs="仿宋_GB2312"/>
                <w:sz w:val="24"/>
                <w:szCs w:val="32"/>
              </w:rPr>
              <w:t>1.3</w:t>
            </w:r>
            <w:r>
              <w:rPr>
                <w:rFonts w:ascii="仿宋_GB2312" w:eastAsia="仿宋_GB2312" w:hAnsi="仿宋_GB2312" w:cs="仿宋_GB2312" w:hint="eastAsia"/>
                <w:sz w:val="24"/>
                <w:szCs w:val="32"/>
              </w:rPr>
              <w:t>正向教养儿童</w:t>
            </w:r>
            <w:r w:rsidR="000446F8">
              <w:rPr>
                <w:rFonts w:ascii="仿宋_GB2312" w:eastAsia="仿宋_GB2312" w:hAnsi="仿宋_GB2312" w:cs="仿宋_GB2312" w:hint="eastAsia"/>
                <w:sz w:val="24"/>
                <w:szCs w:val="32"/>
              </w:rPr>
              <w:t>小组</w:t>
            </w:r>
          </w:p>
        </w:tc>
        <w:tc>
          <w:tcPr>
            <w:tcW w:w="2525" w:type="pct"/>
            <w:shd w:val="clear" w:color="D8D8D8" w:themeColor="background1" w:themeShade="D8" w:fill="auto"/>
            <w:vAlign w:val="center"/>
          </w:tcPr>
          <w:p w:rsidR="00F66244" w:rsidRDefault="00F66244" w:rsidP="003E750D">
            <w:pPr>
              <w:jc w:val="left"/>
              <w:rPr>
                <w:rFonts w:ascii="仿宋_GB2312" w:eastAsia="仿宋_GB2312" w:hAnsi="仿宋_GB2312" w:cs="仿宋_GB2312"/>
                <w:sz w:val="24"/>
                <w:szCs w:val="32"/>
              </w:rPr>
            </w:pPr>
            <w:r>
              <w:rPr>
                <w:rFonts w:ascii="仿宋_GB2312" w:eastAsia="仿宋_GB2312" w:hAnsi="仿宋_GB2312" w:cs="仿宋_GB2312"/>
                <w:sz w:val="24"/>
                <w:szCs w:val="32"/>
              </w:rPr>
              <w:t>10</w:t>
            </w:r>
            <w:r>
              <w:rPr>
                <w:rFonts w:ascii="仿宋_GB2312" w:eastAsia="仿宋_GB2312" w:hAnsi="仿宋_GB2312" w:cs="仿宋_GB2312" w:hint="eastAsia"/>
                <w:sz w:val="24"/>
                <w:szCs w:val="32"/>
              </w:rPr>
              <w:t>场标准儿童</w:t>
            </w:r>
            <w:r w:rsidR="000446F8">
              <w:rPr>
                <w:rFonts w:ascii="仿宋_GB2312" w:eastAsia="仿宋_GB2312" w:hAnsi="仿宋_GB2312" w:cs="仿宋_GB2312" w:hint="eastAsia"/>
                <w:sz w:val="24"/>
                <w:szCs w:val="32"/>
              </w:rPr>
              <w:t>小组</w:t>
            </w:r>
            <w:r>
              <w:rPr>
                <w:rFonts w:ascii="仿宋_GB2312" w:eastAsia="仿宋_GB2312" w:hAnsi="仿宋_GB2312" w:cs="仿宋_GB2312"/>
                <w:sz w:val="24"/>
                <w:szCs w:val="32"/>
              </w:rPr>
              <w:t xml:space="preserve"> </w:t>
            </w:r>
          </w:p>
        </w:tc>
      </w:tr>
      <w:tr w:rsidR="00F66244" w:rsidTr="000446F8">
        <w:trPr>
          <w:trHeight w:val="488"/>
        </w:trPr>
        <w:tc>
          <w:tcPr>
            <w:tcW w:w="2475" w:type="pct"/>
            <w:shd w:val="clear" w:color="D8D8D8" w:themeColor="background1" w:themeShade="D8" w:fill="auto"/>
            <w:vAlign w:val="center"/>
          </w:tcPr>
          <w:p w:rsidR="00F66244" w:rsidRDefault="00F66244" w:rsidP="00F66244">
            <w:pPr>
              <w:rPr>
                <w:rFonts w:ascii="仿宋_GB2312" w:eastAsia="仿宋_GB2312" w:hAnsi="仿宋_GB2312" w:cs="仿宋_GB2312"/>
                <w:sz w:val="24"/>
                <w:szCs w:val="32"/>
              </w:rPr>
            </w:pPr>
            <w:r>
              <w:rPr>
                <w:rFonts w:ascii="仿宋_GB2312" w:eastAsia="仿宋_GB2312" w:hAnsi="仿宋_GB2312" w:cs="仿宋_GB2312"/>
                <w:sz w:val="24"/>
                <w:szCs w:val="32"/>
              </w:rPr>
              <w:t>1.</w:t>
            </w:r>
            <w:r>
              <w:rPr>
                <w:rFonts w:ascii="仿宋_GB2312" w:eastAsia="仿宋_GB2312" w:hAnsi="仿宋_GB2312" w:cs="仿宋_GB2312" w:hint="eastAsia"/>
                <w:sz w:val="24"/>
                <w:szCs w:val="32"/>
              </w:rPr>
              <w:t>4</w:t>
            </w:r>
            <w:r>
              <w:rPr>
                <w:rFonts w:ascii="仿宋_GB2312" w:eastAsia="仿宋_GB2312" w:hAnsi="仿宋_GB2312" w:cs="仿宋_GB2312"/>
                <w:sz w:val="24"/>
                <w:szCs w:val="32"/>
              </w:rPr>
              <w:t>正向教养家长工作坊</w:t>
            </w:r>
          </w:p>
        </w:tc>
        <w:tc>
          <w:tcPr>
            <w:tcW w:w="2525" w:type="pct"/>
            <w:shd w:val="clear" w:color="D8D8D8" w:themeColor="background1" w:themeShade="D8" w:fill="auto"/>
            <w:vAlign w:val="center"/>
          </w:tcPr>
          <w:p w:rsidR="00F66244" w:rsidRDefault="00F66244" w:rsidP="003E750D">
            <w:pPr>
              <w:jc w:val="left"/>
              <w:rPr>
                <w:rFonts w:ascii="仿宋_GB2312" w:eastAsia="仿宋_GB2312" w:hAnsi="仿宋_GB2312" w:cs="仿宋_GB2312"/>
                <w:sz w:val="24"/>
                <w:szCs w:val="32"/>
              </w:rPr>
            </w:pPr>
            <w:r>
              <w:rPr>
                <w:rFonts w:ascii="仿宋_GB2312" w:eastAsia="仿宋_GB2312" w:hAnsi="仿宋_GB2312" w:cs="仿宋_GB2312"/>
                <w:sz w:val="24"/>
                <w:szCs w:val="32"/>
              </w:rPr>
              <w:t>10</w:t>
            </w:r>
            <w:r>
              <w:rPr>
                <w:rFonts w:ascii="仿宋_GB2312" w:eastAsia="仿宋_GB2312" w:hAnsi="仿宋_GB2312" w:cs="仿宋_GB2312" w:hint="eastAsia"/>
                <w:sz w:val="24"/>
                <w:szCs w:val="32"/>
              </w:rPr>
              <w:t>场标准正向教养家长工作坊</w:t>
            </w:r>
          </w:p>
        </w:tc>
      </w:tr>
    </w:tbl>
    <w:p w:rsidR="00F66244" w:rsidRDefault="00242E9F" w:rsidP="00242E9F">
      <w:pPr>
        <w:pStyle w:val="a7"/>
        <w:numPr>
          <w:ilvl w:val="0"/>
          <w:numId w:val="8"/>
        </w:numPr>
        <w:spacing w:line="300" w:lineRule="auto"/>
        <w:ind w:firstLineChars="0"/>
        <w:jc w:val="left"/>
        <w:rPr>
          <w:rFonts w:ascii="宋体" w:eastAsia="宋体" w:hAnsi="宋体"/>
          <w:sz w:val="24"/>
          <w:szCs w:val="24"/>
        </w:rPr>
      </w:pPr>
      <w:r>
        <w:rPr>
          <w:rFonts w:ascii="宋体" w:eastAsia="宋体" w:hAnsi="宋体" w:hint="eastAsia"/>
          <w:sz w:val="24"/>
          <w:szCs w:val="24"/>
        </w:rPr>
        <w:t>正向教养</w:t>
      </w:r>
      <w:r w:rsidR="00F66244">
        <w:rPr>
          <w:rFonts w:ascii="宋体" w:eastAsia="宋体" w:hAnsi="宋体" w:hint="eastAsia"/>
          <w:sz w:val="24"/>
          <w:szCs w:val="24"/>
        </w:rPr>
        <w:t>服务</w:t>
      </w:r>
      <w:r w:rsidR="008000FD">
        <w:rPr>
          <w:rFonts w:ascii="宋体" w:eastAsia="宋体" w:hAnsi="宋体" w:hint="eastAsia"/>
          <w:sz w:val="24"/>
          <w:szCs w:val="24"/>
        </w:rPr>
        <w:t>：</w:t>
      </w:r>
    </w:p>
    <w:p w:rsidR="00F66244" w:rsidRDefault="00382990" w:rsidP="00382990">
      <w:pPr>
        <w:pStyle w:val="a8"/>
        <w:numPr>
          <w:ilvl w:val="0"/>
          <w:numId w:val="8"/>
        </w:numPr>
        <w:spacing w:before="134" w:beforeAutospacing="0" w:after="0" w:afterAutospacing="0" w:line="300" w:lineRule="auto"/>
        <w:rPr>
          <w:rFonts w:cstheme="minorBidi"/>
          <w:kern w:val="2"/>
        </w:rPr>
      </w:pPr>
      <w:r>
        <w:rPr>
          <w:rFonts w:cstheme="minorBidi" w:hint="eastAsia"/>
          <w:kern w:val="2"/>
        </w:rPr>
        <w:t>个案管理服务</w:t>
      </w:r>
      <w:r w:rsidR="00773655">
        <w:rPr>
          <w:rFonts w:cstheme="minorBidi" w:hint="eastAsia"/>
          <w:kern w:val="2"/>
        </w:rPr>
        <w:t>：</w:t>
      </w:r>
    </w:p>
    <w:tbl>
      <w:tblPr>
        <w:tblStyle w:val="a9"/>
        <w:tblpPr w:leftFromText="180" w:rightFromText="180" w:vertAnchor="text" w:horzAnchor="margin" w:tblpY="101"/>
        <w:tblOverlap w:val="never"/>
        <w:tblW w:w="5000" w:type="pct"/>
        <w:shd w:val="solid" w:color="D8D8D8" w:themeColor="background1" w:themeShade="D8" w:fill="auto"/>
        <w:tblLook w:val="04A0" w:firstRow="1" w:lastRow="0" w:firstColumn="1" w:lastColumn="0" w:noHBand="0" w:noVBand="1"/>
      </w:tblPr>
      <w:tblGrid>
        <w:gridCol w:w="4107"/>
        <w:gridCol w:w="4189"/>
      </w:tblGrid>
      <w:tr w:rsidR="000446F8" w:rsidRPr="000446F8" w:rsidTr="000446F8">
        <w:trPr>
          <w:trHeight w:val="557"/>
        </w:trPr>
        <w:tc>
          <w:tcPr>
            <w:tcW w:w="2475" w:type="pct"/>
            <w:shd w:val="clear" w:color="D8D8D8" w:themeColor="background1" w:themeShade="D8" w:fill="auto"/>
            <w:vAlign w:val="center"/>
          </w:tcPr>
          <w:p w:rsidR="000446F8" w:rsidRPr="000446F8" w:rsidRDefault="000446F8" w:rsidP="003E750D">
            <w:pPr>
              <w:jc w:val="center"/>
              <w:rPr>
                <w:rFonts w:ascii="仿宋" w:eastAsia="仿宋" w:hAnsi="仿宋" w:cs="仿宋"/>
                <w:b/>
                <w:sz w:val="24"/>
                <w:szCs w:val="24"/>
              </w:rPr>
            </w:pPr>
            <w:r w:rsidRPr="000446F8">
              <w:rPr>
                <w:rFonts w:ascii="仿宋" w:eastAsia="仿宋" w:hAnsi="仿宋" w:cs="仿宋" w:hint="eastAsia"/>
                <w:b/>
                <w:sz w:val="24"/>
                <w:szCs w:val="24"/>
              </w:rPr>
              <w:t>服务内容</w:t>
            </w:r>
          </w:p>
        </w:tc>
        <w:tc>
          <w:tcPr>
            <w:tcW w:w="2525" w:type="pct"/>
            <w:shd w:val="clear" w:color="D8D8D8" w:themeColor="background1" w:themeShade="D8" w:fill="auto"/>
            <w:vAlign w:val="center"/>
          </w:tcPr>
          <w:p w:rsidR="000446F8" w:rsidRPr="000446F8" w:rsidRDefault="000446F8" w:rsidP="003E750D">
            <w:pPr>
              <w:jc w:val="center"/>
              <w:rPr>
                <w:rFonts w:ascii="仿宋" w:eastAsia="仿宋" w:hAnsi="仿宋" w:cs="仿宋"/>
                <w:b/>
                <w:sz w:val="24"/>
                <w:szCs w:val="24"/>
              </w:rPr>
            </w:pPr>
            <w:r>
              <w:rPr>
                <w:rFonts w:ascii="仿宋" w:eastAsia="仿宋" w:hAnsi="仿宋" w:cs="仿宋" w:hint="eastAsia"/>
                <w:b/>
                <w:sz w:val="24"/>
                <w:szCs w:val="24"/>
              </w:rPr>
              <w:t>指标</w:t>
            </w:r>
          </w:p>
        </w:tc>
      </w:tr>
      <w:tr w:rsidR="000446F8" w:rsidTr="000446F8">
        <w:trPr>
          <w:trHeight w:val="557"/>
        </w:trPr>
        <w:tc>
          <w:tcPr>
            <w:tcW w:w="2475" w:type="pct"/>
            <w:shd w:val="clear" w:color="D8D8D8" w:themeColor="background1" w:themeShade="D8" w:fill="auto"/>
            <w:vAlign w:val="center"/>
          </w:tcPr>
          <w:p w:rsidR="000446F8" w:rsidRDefault="000446F8" w:rsidP="000446F8">
            <w:pPr>
              <w:rPr>
                <w:rFonts w:ascii="仿宋_GB2312" w:eastAsia="仿宋_GB2312" w:hAnsi="仿宋_GB2312" w:cs="仿宋_GB2312"/>
                <w:sz w:val="24"/>
                <w:szCs w:val="32"/>
              </w:rPr>
            </w:pPr>
            <w:r>
              <w:rPr>
                <w:rFonts w:ascii="仿宋_GB2312" w:eastAsia="仿宋_GB2312" w:hAnsi="仿宋_GB2312" w:cs="仿宋_GB2312"/>
                <w:sz w:val="24"/>
                <w:szCs w:val="32"/>
              </w:rPr>
              <w:t>2.1</w:t>
            </w:r>
            <w:r>
              <w:rPr>
                <w:rFonts w:ascii="仿宋_GB2312" w:eastAsia="仿宋_GB2312" w:hAnsi="仿宋_GB2312" w:cs="仿宋_GB2312" w:hint="eastAsia"/>
                <w:sz w:val="24"/>
                <w:szCs w:val="32"/>
              </w:rPr>
              <w:t>个案管理服务</w:t>
            </w:r>
          </w:p>
        </w:tc>
        <w:tc>
          <w:tcPr>
            <w:tcW w:w="2525" w:type="pct"/>
            <w:shd w:val="clear" w:color="D8D8D8" w:themeColor="background1" w:themeShade="D8" w:fill="auto"/>
            <w:vAlign w:val="center"/>
          </w:tcPr>
          <w:p w:rsidR="000446F8" w:rsidRDefault="003F79CC" w:rsidP="003E750D">
            <w:pPr>
              <w:jc w:val="left"/>
              <w:rPr>
                <w:rFonts w:ascii="仿宋" w:eastAsia="仿宋" w:hAnsi="仿宋" w:cs="仿宋"/>
                <w:sz w:val="24"/>
                <w:szCs w:val="24"/>
              </w:rPr>
            </w:pPr>
            <w:r>
              <w:rPr>
                <w:rFonts w:ascii="仿宋" w:eastAsia="仿宋" w:hAnsi="仿宋" w:cs="仿宋" w:hint="eastAsia"/>
                <w:sz w:val="24"/>
                <w:szCs w:val="24"/>
              </w:rPr>
              <w:t>完成</w:t>
            </w:r>
            <w:r w:rsidR="000446F8">
              <w:rPr>
                <w:rFonts w:ascii="仿宋" w:eastAsia="仿宋" w:hAnsi="仿宋" w:cs="仿宋" w:hint="eastAsia"/>
                <w:sz w:val="24"/>
                <w:szCs w:val="24"/>
              </w:rPr>
              <w:t>至少1</w:t>
            </w:r>
            <w:r w:rsidR="000446F8">
              <w:rPr>
                <w:rFonts w:ascii="仿宋" w:eastAsia="仿宋" w:hAnsi="仿宋" w:cs="仿宋"/>
                <w:sz w:val="24"/>
                <w:szCs w:val="24"/>
              </w:rPr>
              <w:t>5</w:t>
            </w:r>
            <w:r w:rsidR="000446F8">
              <w:rPr>
                <w:rFonts w:ascii="仿宋" w:eastAsia="仿宋" w:hAnsi="仿宋" w:cs="仿宋" w:hint="eastAsia"/>
                <w:sz w:val="24"/>
                <w:szCs w:val="24"/>
              </w:rPr>
              <w:t>个符合</w:t>
            </w:r>
            <w:r w:rsidR="003E750D">
              <w:rPr>
                <w:rFonts w:ascii="仿宋" w:eastAsia="仿宋" w:hAnsi="仿宋" w:cs="仿宋" w:hint="eastAsia"/>
                <w:sz w:val="24"/>
                <w:szCs w:val="24"/>
              </w:rPr>
              <w:t>个案管理流程与标准的个案服务</w:t>
            </w:r>
          </w:p>
        </w:tc>
      </w:tr>
      <w:tr w:rsidR="003E750D" w:rsidTr="000446F8">
        <w:trPr>
          <w:trHeight w:val="557"/>
        </w:trPr>
        <w:tc>
          <w:tcPr>
            <w:tcW w:w="2475" w:type="pct"/>
            <w:shd w:val="clear" w:color="D8D8D8" w:themeColor="background1" w:themeShade="D8" w:fill="auto"/>
            <w:vAlign w:val="center"/>
          </w:tcPr>
          <w:p w:rsidR="003E750D" w:rsidRDefault="003E750D" w:rsidP="000446F8">
            <w:pPr>
              <w:rPr>
                <w:rFonts w:ascii="仿宋_GB2312" w:eastAsia="仿宋_GB2312" w:hAnsi="仿宋_GB2312" w:cs="仿宋_GB2312"/>
                <w:sz w:val="24"/>
                <w:szCs w:val="32"/>
              </w:rPr>
            </w:pPr>
            <w:r>
              <w:rPr>
                <w:rFonts w:ascii="仿宋_GB2312" w:eastAsia="仿宋_GB2312" w:hAnsi="仿宋_GB2312" w:cs="仿宋_GB2312" w:hint="eastAsia"/>
                <w:sz w:val="24"/>
                <w:szCs w:val="32"/>
              </w:rPr>
              <w:t>2</w:t>
            </w:r>
            <w:r>
              <w:rPr>
                <w:rFonts w:ascii="仿宋_GB2312" w:eastAsia="仿宋_GB2312" w:hAnsi="仿宋_GB2312" w:cs="仿宋_GB2312"/>
                <w:sz w:val="24"/>
                <w:szCs w:val="32"/>
              </w:rPr>
              <w:t>.2</w:t>
            </w:r>
            <w:r>
              <w:rPr>
                <w:rFonts w:ascii="仿宋_GB2312" w:eastAsia="仿宋_GB2312" w:hAnsi="仿宋_GB2312" w:cs="仿宋_GB2312" w:hint="eastAsia"/>
                <w:sz w:val="24"/>
                <w:szCs w:val="32"/>
              </w:rPr>
              <w:t>个案督导</w:t>
            </w:r>
          </w:p>
        </w:tc>
        <w:tc>
          <w:tcPr>
            <w:tcW w:w="2525" w:type="pct"/>
            <w:shd w:val="clear" w:color="D8D8D8" w:themeColor="background1" w:themeShade="D8" w:fill="auto"/>
            <w:vAlign w:val="center"/>
          </w:tcPr>
          <w:p w:rsidR="003E750D" w:rsidRDefault="003E750D" w:rsidP="003E750D">
            <w:pPr>
              <w:jc w:val="left"/>
              <w:rPr>
                <w:rFonts w:ascii="仿宋" w:eastAsia="仿宋" w:hAnsi="仿宋" w:cs="仿宋"/>
                <w:sz w:val="24"/>
                <w:szCs w:val="24"/>
              </w:rPr>
            </w:pPr>
            <w:r w:rsidRPr="003F553C">
              <w:rPr>
                <w:rFonts w:ascii="仿宋" w:eastAsia="仿宋" w:hAnsi="仿宋" w:cs="仿宋" w:hint="eastAsia"/>
                <w:sz w:val="24"/>
                <w:szCs w:val="24"/>
              </w:rPr>
              <w:t>每季度至少</w:t>
            </w:r>
            <w:r w:rsidR="00D82D08">
              <w:rPr>
                <w:rFonts w:ascii="仿宋" w:eastAsia="仿宋" w:hAnsi="仿宋" w:cs="仿宋" w:hint="eastAsia"/>
                <w:sz w:val="24"/>
                <w:szCs w:val="24"/>
              </w:rPr>
              <w:t>开展</w:t>
            </w:r>
            <w:r w:rsidRPr="003F553C">
              <w:rPr>
                <w:rFonts w:ascii="仿宋" w:eastAsia="仿宋" w:hAnsi="仿宋" w:cs="仿宋" w:hint="eastAsia"/>
                <w:sz w:val="24"/>
                <w:szCs w:val="24"/>
              </w:rPr>
              <w:t>一次</w:t>
            </w:r>
            <w:r w:rsidR="00D82D08">
              <w:rPr>
                <w:rFonts w:ascii="仿宋" w:eastAsia="仿宋" w:hAnsi="仿宋" w:cs="仿宋" w:hint="eastAsia"/>
                <w:sz w:val="24"/>
                <w:szCs w:val="24"/>
              </w:rPr>
              <w:t>儿童保护个案管理</w:t>
            </w:r>
            <w:r w:rsidRPr="003F553C">
              <w:rPr>
                <w:rFonts w:ascii="仿宋" w:eastAsia="仿宋" w:hAnsi="仿宋" w:cs="仿宋" w:hint="eastAsia"/>
                <w:sz w:val="24"/>
                <w:szCs w:val="24"/>
              </w:rPr>
              <w:t>督导工作</w:t>
            </w:r>
          </w:p>
        </w:tc>
      </w:tr>
    </w:tbl>
    <w:p w:rsidR="00E7148B" w:rsidRDefault="00E7148B" w:rsidP="00E7148B">
      <w:pPr>
        <w:spacing w:line="300" w:lineRule="auto"/>
        <w:jc w:val="left"/>
        <w:rPr>
          <w:rFonts w:ascii="宋体" w:eastAsia="宋体" w:hAnsi="宋体"/>
          <w:sz w:val="24"/>
          <w:szCs w:val="24"/>
        </w:rPr>
      </w:pPr>
    </w:p>
    <w:p w:rsidR="003F79CC" w:rsidRDefault="003F79CC" w:rsidP="003F79CC">
      <w:pPr>
        <w:pStyle w:val="a7"/>
        <w:numPr>
          <w:ilvl w:val="0"/>
          <w:numId w:val="1"/>
        </w:numPr>
        <w:spacing w:line="300" w:lineRule="auto"/>
        <w:ind w:firstLineChars="0"/>
        <w:jc w:val="left"/>
        <w:rPr>
          <w:rFonts w:ascii="宋体" w:eastAsia="宋体" w:hAnsi="宋体"/>
          <w:sz w:val="24"/>
          <w:szCs w:val="24"/>
        </w:rPr>
      </w:pPr>
      <w:r w:rsidRPr="003F79CC">
        <w:rPr>
          <w:rFonts w:ascii="宋体" w:eastAsia="宋体" w:hAnsi="宋体" w:hint="eastAsia"/>
          <w:sz w:val="24"/>
          <w:szCs w:val="24"/>
        </w:rPr>
        <w:t>服务</w:t>
      </w:r>
      <w:r>
        <w:rPr>
          <w:rFonts w:ascii="宋体" w:eastAsia="宋体" w:hAnsi="宋体" w:hint="eastAsia"/>
          <w:sz w:val="24"/>
          <w:szCs w:val="24"/>
        </w:rPr>
        <w:t>方式：在服务执行</w:t>
      </w:r>
      <w:r w:rsidRPr="003F79CC">
        <w:rPr>
          <w:rFonts w:ascii="宋体" w:eastAsia="宋体" w:hAnsi="宋体" w:hint="eastAsia"/>
          <w:sz w:val="24"/>
          <w:szCs w:val="24"/>
        </w:rPr>
        <w:t>过程中，提供的服务的社工组织</w:t>
      </w:r>
      <w:r>
        <w:rPr>
          <w:rFonts w:ascii="宋体" w:eastAsia="宋体" w:hAnsi="宋体" w:hint="eastAsia"/>
          <w:sz w:val="24"/>
          <w:szCs w:val="24"/>
        </w:rPr>
        <w:t>根据项目提供的</w:t>
      </w:r>
      <w:r>
        <w:rPr>
          <w:rFonts w:ascii="宋体" w:eastAsia="宋体" w:hAnsi="宋体" w:hint="eastAsia"/>
          <w:sz w:val="24"/>
          <w:szCs w:val="24"/>
        </w:rPr>
        <w:lastRenderedPageBreak/>
        <w:t>服务内容，与</w:t>
      </w:r>
      <w:r w:rsidRPr="003F79CC">
        <w:rPr>
          <w:rFonts w:ascii="宋体" w:eastAsia="宋体" w:hAnsi="宋体" w:hint="eastAsia"/>
          <w:sz w:val="24"/>
          <w:szCs w:val="24"/>
        </w:rPr>
        <w:t>负责项目的同事</w:t>
      </w:r>
      <w:r>
        <w:rPr>
          <w:rFonts w:ascii="宋体" w:eastAsia="宋体" w:hAnsi="宋体" w:hint="eastAsia"/>
          <w:sz w:val="24"/>
          <w:szCs w:val="24"/>
        </w:rPr>
        <w:t>以及当地民政共同制定服务计划，并按照计划的目标和时间</w:t>
      </w:r>
      <w:r w:rsidR="00BC5F5E">
        <w:rPr>
          <w:rFonts w:ascii="宋体" w:eastAsia="宋体" w:hAnsi="宋体" w:hint="eastAsia"/>
          <w:sz w:val="24"/>
          <w:szCs w:val="24"/>
        </w:rPr>
        <w:t>节点完成服务。项目负责同事将会通过访点和直接参与服务活动等方式对服务进行定期的监测和督导。</w:t>
      </w:r>
    </w:p>
    <w:p w:rsidR="00934088" w:rsidRPr="003F79CC" w:rsidRDefault="00934088" w:rsidP="00934088">
      <w:pPr>
        <w:pStyle w:val="a7"/>
        <w:numPr>
          <w:ilvl w:val="0"/>
          <w:numId w:val="1"/>
        </w:numPr>
        <w:spacing w:line="300" w:lineRule="auto"/>
        <w:ind w:firstLineChars="0"/>
        <w:jc w:val="left"/>
        <w:rPr>
          <w:rFonts w:ascii="宋体" w:eastAsia="宋体" w:hAnsi="宋体"/>
          <w:sz w:val="24"/>
          <w:szCs w:val="24"/>
        </w:rPr>
      </w:pPr>
      <w:r w:rsidRPr="003F79CC">
        <w:rPr>
          <w:rFonts w:ascii="宋体" w:hAnsi="宋体" w:cs="Tahoma" w:hint="eastAsia"/>
          <w:kern w:val="0"/>
          <w:sz w:val="24"/>
        </w:rPr>
        <w:t>服务周期：</w:t>
      </w:r>
      <w:r w:rsidRPr="003F79CC">
        <w:rPr>
          <w:rFonts w:ascii="宋体" w:eastAsia="宋体" w:hAnsi="宋体" w:hint="eastAsia"/>
          <w:sz w:val="24"/>
          <w:szCs w:val="24"/>
        </w:rPr>
        <w:t>2</w:t>
      </w:r>
      <w:r w:rsidRPr="003F79CC">
        <w:rPr>
          <w:rFonts w:ascii="宋体" w:eastAsia="宋体" w:hAnsi="宋体"/>
          <w:sz w:val="24"/>
          <w:szCs w:val="24"/>
        </w:rPr>
        <w:t>020</w:t>
      </w:r>
      <w:r w:rsidRPr="003F79CC">
        <w:rPr>
          <w:rFonts w:ascii="宋体" w:eastAsia="宋体" w:hAnsi="宋体" w:hint="eastAsia"/>
          <w:sz w:val="24"/>
          <w:szCs w:val="24"/>
        </w:rPr>
        <w:t>年1</w:t>
      </w:r>
      <w:r w:rsidRPr="003F79CC">
        <w:rPr>
          <w:rFonts w:ascii="宋体" w:eastAsia="宋体" w:hAnsi="宋体"/>
          <w:sz w:val="24"/>
          <w:szCs w:val="24"/>
        </w:rPr>
        <w:t>1</w:t>
      </w:r>
      <w:r w:rsidRPr="003F79CC">
        <w:rPr>
          <w:rFonts w:ascii="宋体" w:eastAsia="宋体" w:hAnsi="宋体" w:hint="eastAsia"/>
          <w:sz w:val="24"/>
          <w:szCs w:val="24"/>
        </w:rPr>
        <w:t>月-</w:t>
      </w:r>
      <w:r w:rsidRPr="003F79CC">
        <w:rPr>
          <w:rFonts w:ascii="宋体" w:eastAsia="宋体" w:hAnsi="宋体"/>
          <w:sz w:val="24"/>
          <w:szCs w:val="24"/>
        </w:rPr>
        <w:t>2021</w:t>
      </w:r>
      <w:r w:rsidRPr="003F79CC">
        <w:rPr>
          <w:rFonts w:ascii="宋体" w:eastAsia="宋体" w:hAnsi="宋体" w:hint="eastAsia"/>
          <w:sz w:val="24"/>
          <w:szCs w:val="24"/>
        </w:rPr>
        <w:t>年1</w:t>
      </w:r>
      <w:r w:rsidRPr="003F79CC">
        <w:rPr>
          <w:rFonts w:ascii="宋体" w:eastAsia="宋体" w:hAnsi="宋体"/>
          <w:sz w:val="24"/>
          <w:szCs w:val="24"/>
        </w:rPr>
        <w:t>0</w:t>
      </w:r>
      <w:r w:rsidRPr="003F79CC">
        <w:rPr>
          <w:rFonts w:ascii="宋体" w:eastAsia="宋体" w:hAnsi="宋体" w:hint="eastAsia"/>
          <w:sz w:val="24"/>
          <w:szCs w:val="24"/>
        </w:rPr>
        <w:t>月；</w:t>
      </w:r>
    </w:p>
    <w:p w:rsidR="00934088" w:rsidRPr="003F79CC" w:rsidRDefault="00934088" w:rsidP="00934088">
      <w:pPr>
        <w:pStyle w:val="a7"/>
        <w:spacing w:line="300" w:lineRule="auto"/>
        <w:ind w:left="862" w:firstLineChars="0" w:firstLine="0"/>
        <w:jc w:val="left"/>
        <w:rPr>
          <w:rFonts w:ascii="宋体" w:eastAsia="宋体" w:hAnsi="宋体"/>
          <w:sz w:val="24"/>
          <w:szCs w:val="24"/>
        </w:rPr>
      </w:pPr>
    </w:p>
    <w:sectPr w:rsidR="00934088" w:rsidRPr="003F79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BB0" w:rsidRDefault="00C67BB0" w:rsidP="00CB41A8">
      <w:r>
        <w:separator/>
      </w:r>
    </w:p>
  </w:endnote>
  <w:endnote w:type="continuationSeparator" w:id="0">
    <w:p w:rsidR="00C67BB0" w:rsidRDefault="00C67BB0" w:rsidP="00CB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BB0" w:rsidRDefault="00C67BB0" w:rsidP="00CB41A8">
      <w:r>
        <w:separator/>
      </w:r>
    </w:p>
  </w:footnote>
  <w:footnote w:type="continuationSeparator" w:id="0">
    <w:p w:rsidR="00C67BB0" w:rsidRDefault="00C67BB0" w:rsidP="00CB4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17607"/>
    <w:multiLevelType w:val="hybridMultilevel"/>
    <w:tmpl w:val="3DE29666"/>
    <w:lvl w:ilvl="0" w:tplc="D082C6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0D73AFE"/>
    <w:multiLevelType w:val="multilevel"/>
    <w:tmpl w:val="ECA4E966"/>
    <w:lvl w:ilvl="0">
      <w:start w:val="1"/>
      <w:numFmt w:val="decimal"/>
      <w:isLgl/>
      <w:lvlText w:val="%1"/>
      <w:lvlJc w:val="left"/>
      <w:pPr>
        <w:tabs>
          <w:tab w:val="num" w:pos="567"/>
        </w:tabs>
        <w:ind w:left="567" w:hanging="567"/>
      </w:pPr>
      <w:rPr>
        <w:rFonts w:cs="Times New Roman"/>
      </w:rPr>
    </w:lvl>
    <w:lvl w:ilvl="1">
      <w:start w:val="1"/>
      <w:numFmt w:val="decimal"/>
      <w:lvlText w:val="%1.%2"/>
      <w:lvlJc w:val="left"/>
      <w:pPr>
        <w:tabs>
          <w:tab w:val="num" w:pos="576"/>
        </w:tabs>
        <w:ind w:left="576" w:hanging="576"/>
      </w:pPr>
      <w:rPr>
        <w:rFonts w:cs="Times New Roman"/>
        <w:b w:val="0"/>
        <w:i w:val="0"/>
        <w:sz w:val="20"/>
        <w:szCs w:val="2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117B6044"/>
    <w:multiLevelType w:val="hybridMultilevel"/>
    <w:tmpl w:val="95AA1FC4"/>
    <w:lvl w:ilvl="0" w:tplc="C6EE19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04F33FB"/>
    <w:multiLevelType w:val="multilevel"/>
    <w:tmpl w:val="7EF8505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 w15:restartNumberingAfterBreak="0">
    <w:nsid w:val="380314B8"/>
    <w:multiLevelType w:val="hybridMultilevel"/>
    <w:tmpl w:val="4EBCEFAA"/>
    <w:lvl w:ilvl="0" w:tplc="57BE71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1395B45"/>
    <w:multiLevelType w:val="hybridMultilevel"/>
    <w:tmpl w:val="4E8012F2"/>
    <w:lvl w:ilvl="0" w:tplc="04090011">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15:restartNumberingAfterBreak="0">
    <w:nsid w:val="4BC86A37"/>
    <w:multiLevelType w:val="hybridMultilevel"/>
    <w:tmpl w:val="2806EC52"/>
    <w:lvl w:ilvl="0" w:tplc="BBE60DD6">
      <w:start w:val="1"/>
      <w:numFmt w:val="japaneseCounting"/>
      <w:lvlText w:val="%1、"/>
      <w:lvlJc w:val="left"/>
      <w:pPr>
        <w:ind w:left="862"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4FF337B"/>
    <w:multiLevelType w:val="hybridMultilevel"/>
    <w:tmpl w:val="B00655D2"/>
    <w:lvl w:ilvl="0" w:tplc="AFB089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0"/>
  </w:num>
  <w:num w:numId="3">
    <w:abstractNumId w:val="3"/>
  </w:num>
  <w:num w:numId="4">
    <w:abstractNumId w:val="2"/>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904"/>
    <w:rsid w:val="0001381E"/>
    <w:rsid w:val="000446F8"/>
    <w:rsid w:val="0008083E"/>
    <w:rsid w:val="0010723F"/>
    <w:rsid w:val="00191385"/>
    <w:rsid w:val="001B3FAC"/>
    <w:rsid w:val="001C58D2"/>
    <w:rsid w:val="001E0D60"/>
    <w:rsid w:val="001F32BC"/>
    <w:rsid w:val="00242E9F"/>
    <w:rsid w:val="00283653"/>
    <w:rsid w:val="00313B21"/>
    <w:rsid w:val="00375845"/>
    <w:rsid w:val="00377795"/>
    <w:rsid w:val="00382990"/>
    <w:rsid w:val="003E750D"/>
    <w:rsid w:val="003F553C"/>
    <w:rsid w:val="003F79CC"/>
    <w:rsid w:val="004053C7"/>
    <w:rsid w:val="00415214"/>
    <w:rsid w:val="00492982"/>
    <w:rsid w:val="004D4A33"/>
    <w:rsid w:val="004E647B"/>
    <w:rsid w:val="00531D46"/>
    <w:rsid w:val="0053413B"/>
    <w:rsid w:val="005642F2"/>
    <w:rsid w:val="00574393"/>
    <w:rsid w:val="005C404B"/>
    <w:rsid w:val="005C7341"/>
    <w:rsid w:val="00636441"/>
    <w:rsid w:val="00647CC0"/>
    <w:rsid w:val="00676796"/>
    <w:rsid w:val="006947EE"/>
    <w:rsid w:val="006961D5"/>
    <w:rsid w:val="006F1CA9"/>
    <w:rsid w:val="006F6A16"/>
    <w:rsid w:val="007416C8"/>
    <w:rsid w:val="007437A9"/>
    <w:rsid w:val="00773655"/>
    <w:rsid w:val="007C2BE5"/>
    <w:rsid w:val="008000FD"/>
    <w:rsid w:val="00890C18"/>
    <w:rsid w:val="008D0DFD"/>
    <w:rsid w:val="008D32CF"/>
    <w:rsid w:val="00934088"/>
    <w:rsid w:val="009546B1"/>
    <w:rsid w:val="00A2504F"/>
    <w:rsid w:val="00A8728F"/>
    <w:rsid w:val="00B14B3E"/>
    <w:rsid w:val="00BC5F5E"/>
    <w:rsid w:val="00C0022F"/>
    <w:rsid w:val="00C34542"/>
    <w:rsid w:val="00C562D2"/>
    <w:rsid w:val="00C67BB0"/>
    <w:rsid w:val="00CB41A8"/>
    <w:rsid w:val="00CC305D"/>
    <w:rsid w:val="00D237EE"/>
    <w:rsid w:val="00D24A5A"/>
    <w:rsid w:val="00D312DD"/>
    <w:rsid w:val="00D66B0D"/>
    <w:rsid w:val="00D74CD1"/>
    <w:rsid w:val="00D82D08"/>
    <w:rsid w:val="00DE7925"/>
    <w:rsid w:val="00E53904"/>
    <w:rsid w:val="00E5650C"/>
    <w:rsid w:val="00E628C4"/>
    <w:rsid w:val="00E7148B"/>
    <w:rsid w:val="00EB4233"/>
    <w:rsid w:val="00EC0A01"/>
    <w:rsid w:val="00ED1E47"/>
    <w:rsid w:val="00EE444A"/>
    <w:rsid w:val="00EE6BC3"/>
    <w:rsid w:val="00F66244"/>
    <w:rsid w:val="00F80A07"/>
    <w:rsid w:val="00FA1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5E5A54-DF7D-4DD1-9249-0095D43A9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41A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B41A8"/>
    <w:rPr>
      <w:sz w:val="18"/>
      <w:szCs w:val="18"/>
    </w:rPr>
  </w:style>
  <w:style w:type="paragraph" w:styleId="a5">
    <w:name w:val="footer"/>
    <w:basedOn w:val="a"/>
    <w:link w:val="a6"/>
    <w:uiPriority w:val="99"/>
    <w:unhideWhenUsed/>
    <w:rsid w:val="00CB41A8"/>
    <w:pPr>
      <w:tabs>
        <w:tab w:val="center" w:pos="4153"/>
        <w:tab w:val="right" w:pos="8306"/>
      </w:tabs>
      <w:snapToGrid w:val="0"/>
      <w:jc w:val="left"/>
    </w:pPr>
    <w:rPr>
      <w:sz w:val="18"/>
      <w:szCs w:val="18"/>
    </w:rPr>
  </w:style>
  <w:style w:type="character" w:customStyle="1" w:styleId="a6">
    <w:name w:val="页脚 字符"/>
    <w:basedOn w:val="a0"/>
    <w:link w:val="a5"/>
    <w:uiPriority w:val="99"/>
    <w:rsid w:val="00CB41A8"/>
    <w:rPr>
      <w:sz w:val="18"/>
      <w:szCs w:val="18"/>
    </w:rPr>
  </w:style>
  <w:style w:type="paragraph" w:styleId="a7">
    <w:name w:val="List Paragraph"/>
    <w:basedOn w:val="a"/>
    <w:uiPriority w:val="34"/>
    <w:qFormat/>
    <w:rsid w:val="00CB41A8"/>
    <w:pPr>
      <w:ind w:firstLineChars="200" w:firstLine="420"/>
    </w:pPr>
  </w:style>
  <w:style w:type="paragraph" w:styleId="a8">
    <w:name w:val="Normal (Web)"/>
    <w:basedOn w:val="a"/>
    <w:uiPriority w:val="99"/>
    <w:unhideWhenUsed/>
    <w:rsid w:val="004D4A33"/>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qFormat/>
    <w:rsid w:val="00F66244"/>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Words>
  <Characters>642</Characters>
  <Application>Microsoft Office Word</Application>
  <DocSecurity>0</DocSecurity>
  <Lines>5</Lines>
  <Paragraphs>1</Paragraphs>
  <ScaleCrop>false</ScaleCrop>
  <Company>Save the Children</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Xuan</dc:creator>
  <cp:keywords/>
  <dc:description/>
  <cp:lastModifiedBy>She, Yanxia</cp:lastModifiedBy>
  <cp:revision>2</cp:revision>
  <dcterms:created xsi:type="dcterms:W3CDTF">2020-11-02T08:25:00Z</dcterms:created>
  <dcterms:modified xsi:type="dcterms:W3CDTF">2020-11-02T08:25:00Z</dcterms:modified>
</cp:coreProperties>
</file>